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2D" w:rsidRDefault="00B6132D" w:rsidP="005610CB">
      <w:pPr>
        <w:spacing w:line="360" w:lineRule="auto"/>
        <w:jc w:val="both"/>
        <w:rPr>
          <w:rFonts w:ascii="Arial" w:hAnsi="Arial" w:cs="Arial"/>
          <w:b/>
          <w:sz w:val="20"/>
          <w:szCs w:val="20"/>
        </w:rPr>
      </w:pPr>
      <w:r>
        <w:rPr>
          <w:rFonts w:ascii="Arial" w:hAnsi="Arial" w:cs="Arial"/>
          <w:b/>
          <w:sz w:val="20"/>
          <w:szCs w:val="20"/>
        </w:rPr>
        <w:t>TDP</w:t>
      </w:r>
      <w:r w:rsidR="000E4CD5">
        <w:rPr>
          <w:rFonts w:ascii="Arial" w:hAnsi="Arial" w:cs="Arial"/>
          <w:b/>
          <w:sz w:val="20"/>
          <w:szCs w:val="20"/>
        </w:rPr>
        <w:t>:</w:t>
      </w:r>
      <w:r w:rsidR="00D651E1">
        <w:rPr>
          <w:rFonts w:ascii="Arial" w:hAnsi="Arial" w:cs="Arial"/>
          <w:b/>
          <w:sz w:val="20"/>
          <w:szCs w:val="20"/>
        </w:rPr>
        <w:t xml:space="preserve"> </w:t>
      </w:r>
      <w:r w:rsidR="00E469BD" w:rsidRPr="00E469BD">
        <w:rPr>
          <w:rFonts w:ascii="Arial" w:hAnsi="Arial" w:cs="Arial"/>
          <w:b/>
          <w:sz w:val="20"/>
          <w:szCs w:val="20"/>
        </w:rPr>
        <w:t xml:space="preserve">Board Resolution </w:t>
      </w:r>
      <w:r>
        <w:rPr>
          <w:rFonts w:ascii="Arial" w:hAnsi="Arial" w:cs="Arial"/>
          <w:b/>
          <w:sz w:val="20"/>
          <w:szCs w:val="20"/>
        </w:rPr>
        <w:t>on operation plan and dividend plan for 2020 - 2021</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E469BD">
        <w:rPr>
          <w:rFonts w:ascii="Arial" w:hAnsi="Arial" w:cs="Arial"/>
          <w:sz w:val="20"/>
          <w:szCs w:val="20"/>
        </w:rPr>
        <w:t>28</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B6132D">
        <w:rPr>
          <w:rFonts w:ascii="Arial" w:hAnsi="Arial" w:cs="Arial"/>
          <w:sz w:val="20"/>
          <w:szCs w:val="20"/>
        </w:rPr>
        <w:t>Thuan</w:t>
      </w:r>
      <w:proofErr w:type="spellEnd"/>
      <w:r w:rsidR="00B6132D">
        <w:rPr>
          <w:rFonts w:ascii="Arial" w:hAnsi="Arial" w:cs="Arial"/>
          <w:sz w:val="20"/>
          <w:szCs w:val="20"/>
        </w:rPr>
        <w:t xml:space="preserve"> </w:t>
      </w:r>
      <w:proofErr w:type="spellStart"/>
      <w:r w:rsidR="00B6132D">
        <w:rPr>
          <w:rFonts w:ascii="Arial" w:hAnsi="Arial" w:cs="Arial"/>
          <w:sz w:val="20"/>
          <w:szCs w:val="20"/>
        </w:rPr>
        <w:t>Duc</w:t>
      </w:r>
      <w:proofErr w:type="spellEnd"/>
      <w:r w:rsidR="00E469BD" w:rsidRPr="00E469BD">
        <w:rPr>
          <w:rFonts w:ascii="Arial" w:hAnsi="Arial" w:cs="Arial"/>
          <w:sz w:val="20"/>
          <w:szCs w:val="20"/>
        </w:rPr>
        <w:t xml:space="preserve"> Joint Stock Company</w:t>
      </w:r>
      <w:r w:rsidR="00E469BD">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E469BD" w:rsidRPr="00E469BD">
        <w:rPr>
          <w:rFonts w:ascii="Arial" w:hAnsi="Arial" w:cs="Arial"/>
          <w:sz w:val="20"/>
          <w:szCs w:val="20"/>
        </w:rPr>
        <w:t xml:space="preserve">Board Resolution </w:t>
      </w:r>
      <w:r w:rsidR="00B6132D" w:rsidRPr="00B6132D">
        <w:rPr>
          <w:rFonts w:ascii="Arial" w:hAnsi="Arial" w:cs="Arial"/>
          <w:sz w:val="20"/>
          <w:szCs w:val="20"/>
        </w:rPr>
        <w:t xml:space="preserve">on operation plan and dividend plan for 2020 </w:t>
      </w:r>
      <w:r w:rsidR="00B6132D">
        <w:rPr>
          <w:rFonts w:ascii="Arial" w:hAnsi="Arial" w:cs="Arial"/>
          <w:sz w:val="20"/>
          <w:szCs w:val="20"/>
        </w:rPr>
        <w:t>–</w:t>
      </w:r>
      <w:r w:rsidR="00B6132D" w:rsidRPr="00B6132D">
        <w:rPr>
          <w:rFonts w:ascii="Arial" w:hAnsi="Arial" w:cs="Arial"/>
          <w:sz w:val="20"/>
          <w:szCs w:val="20"/>
        </w:rPr>
        <w:t xml:space="preserve"> 2021</w:t>
      </w:r>
      <w:r w:rsidR="00B6132D">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B6132D" w:rsidRDefault="00B6132D" w:rsidP="005610CB">
      <w:pPr>
        <w:spacing w:line="360" w:lineRule="auto"/>
        <w:jc w:val="both"/>
        <w:rPr>
          <w:rFonts w:ascii="Arial" w:hAnsi="Arial" w:cs="Arial"/>
          <w:sz w:val="20"/>
          <w:szCs w:val="20"/>
        </w:rPr>
      </w:pPr>
      <w:r>
        <w:rPr>
          <w:rFonts w:ascii="Arial" w:hAnsi="Arial" w:cs="Arial"/>
          <w:sz w:val="20"/>
          <w:szCs w:val="20"/>
        </w:rPr>
        <w:t xml:space="preserve">Article 1: Approve the </w:t>
      </w:r>
      <w:r w:rsidRPr="00B6132D">
        <w:rPr>
          <w:rFonts w:ascii="Arial" w:hAnsi="Arial" w:cs="Arial"/>
          <w:sz w:val="20"/>
          <w:szCs w:val="20"/>
        </w:rPr>
        <w:t xml:space="preserve">operation plan and dividend plan for 2020 </w:t>
      </w:r>
      <w:r>
        <w:rPr>
          <w:rFonts w:ascii="Arial" w:hAnsi="Arial" w:cs="Arial"/>
          <w:sz w:val="20"/>
          <w:szCs w:val="20"/>
        </w:rPr>
        <w:t>–</w:t>
      </w:r>
      <w:r w:rsidRPr="00B6132D">
        <w:rPr>
          <w:rFonts w:ascii="Arial" w:hAnsi="Arial" w:cs="Arial"/>
          <w:sz w:val="20"/>
          <w:szCs w:val="20"/>
        </w:rPr>
        <w:t xml:space="preserve"> 2021</w:t>
      </w:r>
      <w:r>
        <w:rPr>
          <w:rFonts w:ascii="Arial" w:hAnsi="Arial" w:cs="Arial"/>
          <w:sz w:val="20"/>
          <w:szCs w:val="20"/>
        </w:rPr>
        <w:t xml:space="preserve"> as follows:</w:t>
      </w:r>
    </w:p>
    <w:tbl>
      <w:tblPr>
        <w:tblStyle w:val="TableGrid"/>
        <w:tblW w:w="0" w:type="auto"/>
        <w:tblLook w:val="04A0" w:firstRow="1" w:lastRow="0" w:firstColumn="1" w:lastColumn="0" w:noHBand="0" w:noVBand="1"/>
      </w:tblPr>
      <w:tblGrid>
        <w:gridCol w:w="1187"/>
        <w:gridCol w:w="1168"/>
        <w:gridCol w:w="1189"/>
        <w:gridCol w:w="1172"/>
        <w:gridCol w:w="1172"/>
        <w:gridCol w:w="1384"/>
        <w:gridCol w:w="1152"/>
        <w:gridCol w:w="1152"/>
      </w:tblGrid>
      <w:tr w:rsidR="00B6132D" w:rsidTr="00DC3526">
        <w:tc>
          <w:tcPr>
            <w:tcW w:w="1187" w:type="dxa"/>
            <w:vMerge w:val="restart"/>
          </w:tcPr>
          <w:p w:rsidR="00B6132D" w:rsidRDefault="00B6132D" w:rsidP="005610CB">
            <w:pPr>
              <w:spacing w:line="360" w:lineRule="auto"/>
              <w:jc w:val="both"/>
              <w:rPr>
                <w:rFonts w:ascii="Arial" w:hAnsi="Arial" w:cs="Arial"/>
                <w:sz w:val="20"/>
                <w:szCs w:val="20"/>
              </w:rPr>
            </w:pPr>
            <w:r>
              <w:rPr>
                <w:rFonts w:ascii="Arial" w:hAnsi="Arial" w:cs="Arial"/>
                <w:sz w:val="20"/>
                <w:szCs w:val="20"/>
              </w:rPr>
              <w:t>Indicator</w:t>
            </w:r>
          </w:p>
        </w:tc>
        <w:tc>
          <w:tcPr>
            <w:tcW w:w="1168" w:type="dxa"/>
            <w:vMerge w:val="restart"/>
          </w:tcPr>
          <w:p w:rsidR="00B6132D" w:rsidRDefault="00B6132D" w:rsidP="005610CB">
            <w:pPr>
              <w:spacing w:line="360" w:lineRule="auto"/>
              <w:jc w:val="both"/>
              <w:rPr>
                <w:rFonts w:ascii="Arial" w:hAnsi="Arial" w:cs="Arial"/>
                <w:sz w:val="20"/>
                <w:szCs w:val="20"/>
              </w:rPr>
            </w:pPr>
            <w:r>
              <w:rPr>
                <w:rFonts w:ascii="Arial" w:hAnsi="Arial" w:cs="Arial"/>
                <w:sz w:val="20"/>
                <w:szCs w:val="20"/>
              </w:rPr>
              <w:t>Unit</w:t>
            </w:r>
          </w:p>
        </w:tc>
        <w:tc>
          <w:tcPr>
            <w:tcW w:w="3533" w:type="dxa"/>
            <w:gridSpan w:val="3"/>
          </w:tcPr>
          <w:p w:rsidR="00B6132D" w:rsidRDefault="00B6132D" w:rsidP="00B6132D">
            <w:pPr>
              <w:spacing w:line="360" w:lineRule="auto"/>
              <w:jc w:val="center"/>
              <w:rPr>
                <w:rFonts w:ascii="Arial" w:hAnsi="Arial" w:cs="Arial"/>
                <w:sz w:val="20"/>
                <w:szCs w:val="20"/>
              </w:rPr>
            </w:pPr>
            <w:r>
              <w:rPr>
                <w:rFonts w:ascii="Arial" w:hAnsi="Arial" w:cs="Arial"/>
                <w:sz w:val="20"/>
                <w:szCs w:val="20"/>
              </w:rPr>
              <w:t>Holding company</w:t>
            </w:r>
          </w:p>
        </w:tc>
        <w:tc>
          <w:tcPr>
            <w:tcW w:w="3688" w:type="dxa"/>
            <w:gridSpan w:val="3"/>
          </w:tcPr>
          <w:p w:rsidR="00B6132D" w:rsidRDefault="00B6132D" w:rsidP="00B6132D">
            <w:pPr>
              <w:spacing w:line="360" w:lineRule="auto"/>
              <w:jc w:val="center"/>
              <w:rPr>
                <w:rFonts w:ascii="Arial" w:hAnsi="Arial" w:cs="Arial"/>
                <w:sz w:val="20"/>
                <w:szCs w:val="20"/>
              </w:rPr>
            </w:pPr>
            <w:r>
              <w:rPr>
                <w:rFonts w:ascii="Arial" w:hAnsi="Arial" w:cs="Arial"/>
                <w:sz w:val="20"/>
                <w:szCs w:val="20"/>
              </w:rPr>
              <w:t>Consolidated</w:t>
            </w:r>
          </w:p>
        </w:tc>
      </w:tr>
      <w:tr w:rsidR="00B6132D" w:rsidTr="00B6132D">
        <w:tc>
          <w:tcPr>
            <w:tcW w:w="1187" w:type="dxa"/>
            <w:vMerge/>
          </w:tcPr>
          <w:p w:rsidR="00B6132D" w:rsidRDefault="00B6132D" w:rsidP="00B6132D">
            <w:pPr>
              <w:spacing w:line="360" w:lineRule="auto"/>
              <w:jc w:val="both"/>
              <w:rPr>
                <w:rFonts w:ascii="Arial" w:hAnsi="Arial" w:cs="Arial"/>
                <w:sz w:val="20"/>
                <w:szCs w:val="20"/>
              </w:rPr>
            </w:pPr>
          </w:p>
        </w:tc>
        <w:tc>
          <w:tcPr>
            <w:tcW w:w="1168" w:type="dxa"/>
            <w:vMerge/>
          </w:tcPr>
          <w:p w:rsidR="00B6132D" w:rsidRDefault="00B6132D" w:rsidP="00B6132D">
            <w:pPr>
              <w:spacing w:line="360" w:lineRule="auto"/>
              <w:jc w:val="both"/>
              <w:rPr>
                <w:rFonts w:ascii="Arial" w:hAnsi="Arial" w:cs="Arial"/>
                <w:sz w:val="20"/>
                <w:szCs w:val="20"/>
              </w:rPr>
            </w:pPr>
          </w:p>
        </w:tc>
        <w:tc>
          <w:tcPr>
            <w:tcW w:w="1189" w:type="dxa"/>
          </w:tcPr>
          <w:p w:rsidR="00B6132D" w:rsidRDefault="00B6132D" w:rsidP="00B6132D">
            <w:pPr>
              <w:spacing w:line="360" w:lineRule="auto"/>
              <w:jc w:val="center"/>
              <w:rPr>
                <w:rFonts w:ascii="Arial" w:hAnsi="Arial" w:cs="Arial"/>
                <w:sz w:val="20"/>
                <w:szCs w:val="20"/>
              </w:rPr>
            </w:pPr>
            <w:r>
              <w:rPr>
                <w:rFonts w:ascii="Arial" w:hAnsi="Arial" w:cs="Arial"/>
                <w:sz w:val="20"/>
                <w:szCs w:val="20"/>
              </w:rPr>
              <w:t>2019</w:t>
            </w:r>
          </w:p>
        </w:tc>
        <w:tc>
          <w:tcPr>
            <w:tcW w:w="1172" w:type="dxa"/>
          </w:tcPr>
          <w:p w:rsidR="00B6132D" w:rsidRDefault="00B6132D" w:rsidP="00B6132D">
            <w:pPr>
              <w:spacing w:line="360" w:lineRule="auto"/>
              <w:jc w:val="center"/>
              <w:rPr>
                <w:rFonts w:ascii="Arial" w:hAnsi="Arial" w:cs="Arial"/>
                <w:sz w:val="20"/>
                <w:szCs w:val="20"/>
              </w:rPr>
            </w:pPr>
            <w:r>
              <w:rPr>
                <w:rFonts w:ascii="Arial" w:hAnsi="Arial" w:cs="Arial"/>
                <w:sz w:val="20"/>
                <w:szCs w:val="20"/>
              </w:rPr>
              <w:t>2020</w:t>
            </w:r>
          </w:p>
        </w:tc>
        <w:tc>
          <w:tcPr>
            <w:tcW w:w="1172" w:type="dxa"/>
          </w:tcPr>
          <w:p w:rsidR="00B6132D" w:rsidRDefault="00B6132D" w:rsidP="00B6132D">
            <w:pPr>
              <w:spacing w:line="360" w:lineRule="auto"/>
              <w:jc w:val="center"/>
              <w:rPr>
                <w:rFonts w:ascii="Arial" w:hAnsi="Arial" w:cs="Arial"/>
                <w:sz w:val="20"/>
                <w:szCs w:val="20"/>
              </w:rPr>
            </w:pPr>
            <w:r>
              <w:rPr>
                <w:rFonts w:ascii="Arial" w:hAnsi="Arial" w:cs="Arial"/>
                <w:sz w:val="20"/>
                <w:szCs w:val="20"/>
              </w:rPr>
              <w:t>2021</w:t>
            </w:r>
          </w:p>
        </w:tc>
        <w:tc>
          <w:tcPr>
            <w:tcW w:w="1384" w:type="dxa"/>
          </w:tcPr>
          <w:p w:rsidR="00B6132D" w:rsidRDefault="00B6132D" w:rsidP="00B6132D">
            <w:pPr>
              <w:spacing w:line="360" w:lineRule="auto"/>
              <w:jc w:val="center"/>
              <w:rPr>
                <w:rFonts w:ascii="Arial" w:hAnsi="Arial" w:cs="Arial"/>
                <w:sz w:val="20"/>
                <w:szCs w:val="20"/>
              </w:rPr>
            </w:pPr>
            <w:r>
              <w:rPr>
                <w:rFonts w:ascii="Arial" w:hAnsi="Arial" w:cs="Arial"/>
                <w:sz w:val="20"/>
                <w:szCs w:val="20"/>
              </w:rPr>
              <w:t>2019</w:t>
            </w:r>
          </w:p>
        </w:tc>
        <w:tc>
          <w:tcPr>
            <w:tcW w:w="1152" w:type="dxa"/>
          </w:tcPr>
          <w:p w:rsidR="00B6132D" w:rsidRDefault="00B6132D" w:rsidP="00B6132D">
            <w:pPr>
              <w:spacing w:line="360" w:lineRule="auto"/>
              <w:jc w:val="center"/>
              <w:rPr>
                <w:rFonts w:ascii="Arial" w:hAnsi="Arial" w:cs="Arial"/>
                <w:sz w:val="20"/>
                <w:szCs w:val="20"/>
              </w:rPr>
            </w:pPr>
            <w:r>
              <w:rPr>
                <w:rFonts w:ascii="Arial" w:hAnsi="Arial" w:cs="Arial"/>
                <w:sz w:val="20"/>
                <w:szCs w:val="20"/>
              </w:rPr>
              <w:t>2020</w:t>
            </w:r>
          </w:p>
        </w:tc>
        <w:tc>
          <w:tcPr>
            <w:tcW w:w="1152" w:type="dxa"/>
          </w:tcPr>
          <w:p w:rsidR="00B6132D" w:rsidRDefault="00B6132D" w:rsidP="00B6132D">
            <w:pPr>
              <w:spacing w:line="360" w:lineRule="auto"/>
              <w:jc w:val="center"/>
              <w:rPr>
                <w:rFonts w:ascii="Arial" w:hAnsi="Arial" w:cs="Arial"/>
                <w:sz w:val="20"/>
                <w:szCs w:val="20"/>
              </w:rPr>
            </w:pPr>
            <w:r>
              <w:rPr>
                <w:rFonts w:ascii="Arial" w:hAnsi="Arial" w:cs="Arial"/>
                <w:sz w:val="20"/>
                <w:szCs w:val="20"/>
              </w:rPr>
              <w:t>2021</w:t>
            </w:r>
          </w:p>
        </w:tc>
      </w:tr>
      <w:tr w:rsidR="00B6132D" w:rsidTr="00B6132D">
        <w:tc>
          <w:tcPr>
            <w:tcW w:w="1187"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Net revenue</w:t>
            </w:r>
          </w:p>
        </w:tc>
        <w:tc>
          <w:tcPr>
            <w:tcW w:w="1168"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VND billion</w:t>
            </w:r>
          </w:p>
        </w:tc>
        <w:tc>
          <w:tcPr>
            <w:tcW w:w="1189"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1,152</w:t>
            </w:r>
          </w:p>
        </w:tc>
        <w:tc>
          <w:tcPr>
            <w:tcW w:w="117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1,200</w:t>
            </w:r>
          </w:p>
        </w:tc>
        <w:tc>
          <w:tcPr>
            <w:tcW w:w="117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1,325</w:t>
            </w:r>
          </w:p>
        </w:tc>
        <w:tc>
          <w:tcPr>
            <w:tcW w:w="1384"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1,197</w:t>
            </w:r>
          </w:p>
        </w:tc>
        <w:tc>
          <w:tcPr>
            <w:tcW w:w="115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1,450</w:t>
            </w:r>
          </w:p>
        </w:tc>
        <w:tc>
          <w:tcPr>
            <w:tcW w:w="115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1,603</w:t>
            </w:r>
          </w:p>
        </w:tc>
      </w:tr>
      <w:tr w:rsidR="00B6132D" w:rsidTr="00B6132D">
        <w:tc>
          <w:tcPr>
            <w:tcW w:w="1187"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 xml:space="preserve">After-tax profit </w:t>
            </w:r>
          </w:p>
        </w:tc>
        <w:tc>
          <w:tcPr>
            <w:tcW w:w="1168"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VND billion</w:t>
            </w:r>
          </w:p>
        </w:tc>
        <w:tc>
          <w:tcPr>
            <w:tcW w:w="1189"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62</w:t>
            </w:r>
          </w:p>
        </w:tc>
        <w:tc>
          <w:tcPr>
            <w:tcW w:w="117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68</w:t>
            </w:r>
          </w:p>
        </w:tc>
        <w:tc>
          <w:tcPr>
            <w:tcW w:w="117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75</w:t>
            </w:r>
          </w:p>
        </w:tc>
        <w:tc>
          <w:tcPr>
            <w:tcW w:w="1384"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61</w:t>
            </w:r>
          </w:p>
        </w:tc>
        <w:tc>
          <w:tcPr>
            <w:tcW w:w="115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76</w:t>
            </w:r>
          </w:p>
        </w:tc>
        <w:tc>
          <w:tcPr>
            <w:tcW w:w="115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86</w:t>
            </w:r>
          </w:p>
        </w:tc>
      </w:tr>
      <w:tr w:rsidR="00B6132D" w:rsidTr="00B6132D">
        <w:tc>
          <w:tcPr>
            <w:tcW w:w="1187"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Equity</w:t>
            </w:r>
          </w:p>
        </w:tc>
        <w:tc>
          <w:tcPr>
            <w:tcW w:w="1168"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VND billion</w:t>
            </w:r>
          </w:p>
        </w:tc>
        <w:tc>
          <w:tcPr>
            <w:tcW w:w="1189"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564</w:t>
            </w:r>
          </w:p>
        </w:tc>
        <w:tc>
          <w:tcPr>
            <w:tcW w:w="117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632</w:t>
            </w:r>
          </w:p>
        </w:tc>
        <w:tc>
          <w:tcPr>
            <w:tcW w:w="117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707</w:t>
            </w:r>
          </w:p>
        </w:tc>
        <w:tc>
          <w:tcPr>
            <w:tcW w:w="1384"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558</w:t>
            </w:r>
          </w:p>
        </w:tc>
        <w:tc>
          <w:tcPr>
            <w:tcW w:w="115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634</w:t>
            </w:r>
          </w:p>
        </w:tc>
        <w:tc>
          <w:tcPr>
            <w:tcW w:w="1152"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720</w:t>
            </w:r>
          </w:p>
        </w:tc>
      </w:tr>
      <w:tr w:rsidR="00B6132D" w:rsidTr="00B6132D">
        <w:tc>
          <w:tcPr>
            <w:tcW w:w="1187"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Dividend</w:t>
            </w:r>
          </w:p>
        </w:tc>
        <w:tc>
          <w:tcPr>
            <w:tcW w:w="1168"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w:t>
            </w:r>
          </w:p>
        </w:tc>
        <w:tc>
          <w:tcPr>
            <w:tcW w:w="1189" w:type="dxa"/>
          </w:tcPr>
          <w:p w:rsidR="00B6132D" w:rsidRDefault="00B6132D" w:rsidP="00B6132D">
            <w:pPr>
              <w:spacing w:line="360" w:lineRule="auto"/>
              <w:jc w:val="both"/>
              <w:rPr>
                <w:rFonts w:ascii="Arial" w:hAnsi="Arial" w:cs="Arial"/>
                <w:sz w:val="20"/>
                <w:szCs w:val="20"/>
              </w:rPr>
            </w:pPr>
            <w:r>
              <w:rPr>
                <w:rFonts w:ascii="Arial" w:hAnsi="Arial" w:cs="Arial"/>
                <w:sz w:val="20"/>
                <w:szCs w:val="20"/>
              </w:rPr>
              <w:t>12%</w:t>
            </w:r>
          </w:p>
        </w:tc>
        <w:tc>
          <w:tcPr>
            <w:tcW w:w="1172" w:type="dxa"/>
          </w:tcPr>
          <w:p w:rsidR="00B6132D" w:rsidRDefault="00B6132D" w:rsidP="00B6132D">
            <w:r w:rsidRPr="00D40A00">
              <w:rPr>
                <w:rFonts w:ascii="Arial" w:hAnsi="Arial" w:cs="Arial"/>
                <w:sz w:val="20"/>
                <w:szCs w:val="20"/>
              </w:rPr>
              <w:t>12%</w:t>
            </w:r>
          </w:p>
        </w:tc>
        <w:tc>
          <w:tcPr>
            <w:tcW w:w="1172" w:type="dxa"/>
          </w:tcPr>
          <w:p w:rsidR="00B6132D" w:rsidRDefault="00B6132D" w:rsidP="00B6132D">
            <w:r w:rsidRPr="00D40A00">
              <w:rPr>
                <w:rFonts w:ascii="Arial" w:hAnsi="Arial" w:cs="Arial"/>
                <w:sz w:val="20"/>
                <w:szCs w:val="20"/>
              </w:rPr>
              <w:t>12%</w:t>
            </w:r>
          </w:p>
        </w:tc>
        <w:tc>
          <w:tcPr>
            <w:tcW w:w="1384" w:type="dxa"/>
          </w:tcPr>
          <w:p w:rsidR="00B6132D" w:rsidRDefault="00B6132D" w:rsidP="00B6132D">
            <w:r w:rsidRPr="00D40A00">
              <w:rPr>
                <w:rFonts w:ascii="Arial" w:hAnsi="Arial" w:cs="Arial"/>
                <w:sz w:val="20"/>
                <w:szCs w:val="20"/>
              </w:rPr>
              <w:t>12%</w:t>
            </w:r>
          </w:p>
        </w:tc>
        <w:tc>
          <w:tcPr>
            <w:tcW w:w="1152" w:type="dxa"/>
          </w:tcPr>
          <w:p w:rsidR="00B6132D" w:rsidRDefault="00B6132D" w:rsidP="00B6132D">
            <w:r w:rsidRPr="00D40A00">
              <w:rPr>
                <w:rFonts w:ascii="Arial" w:hAnsi="Arial" w:cs="Arial"/>
                <w:sz w:val="20"/>
                <w:szCs w:val="20"/>
              </w:rPr>
              <w:t>12%</w:t>
            </w:r>
          </w:p>
        </w:tc>
        <w:tc>
          <w:tcPr>
            <w:tcW w:w="1152" w:type="dxa"/>
          </w:tcPr>
          <w:p w:rsidR="00B6132D" w:rsidRDefault="00B6132D" w:rsidP="00B6132D">
            <w:r w:rsidRPr="00D40A00">
              <w:rPr>
                <w:rFonts w:ascii="Arial" w:hAnsi="Arial" w:cs="Arial"/>
                <w:sz w:val="20"/>
                <w:szCs w:val="20"/>
              </w:rPr>
              <w:t>12%</w:t>
            </w:r>
          </w:p>
        </w:tc>
      </w:tr>
    </w:tbl>
    <w:p w:rsidR="00B6132D" w:rsidRDefault="00B6132D" w:rsidP="005610CB">
      <w:pPr>
        <w:spacing w:line="360" w:lineRule="auto"/>
        <w:jc w:val="both"/>
        <w:rPr>
          <w:rFonts w:ascii="Arial" w:hAnsi="Arial" w:cs="Arial"/>
          <w:sz w:val="20"/>
          <w:szCs w:val="20"/>
        </w:rPr>
      </w:pPr>
    </w:p>
    <w:p w:rsidR="00B6132D" w:rsidRDefault="00B6132D" w:rsidP="005610CB">
      <w:pPr>
        <w:spacing w:line="360" w:lineRule="auto"/>
        <w:jc w:val="both"/>
        <w:rPr>
          <w:rFonts w:ascii="Arial" w:hAnsi="Arial" w:cs="Arial"/>
          <w:sz w:val="20"/>
          <w:szCs w:val="20"/>
        </w:rPr>
      </w:pPr>
      <w:r>
        <w:rPr>
          <w:rFonts w:ascii="Arial" w:hAnsi="Arial" w:cs="Arial"/>
          <w:sz w:val="20"/>
          <w:szCs w:val="20"/>
        </w:rPr>
        <w:t>Article 2: Assign the General Director to direct the relevant Departments to implement the procedures and next tasks to implement the operation plan for 2020 – 2021 to meet the plan in accordance with the law and Charter of the Company</w:t>
      </w:r>
    </w:p>
    <w:p w:rsidR="00B6132D" w:rsidRDefault="00B6132D" w:rsidP="005610CB">
      <w:pPr>
        <w:spacing w:line="360" w:lineRule="auto"/>
        <w:jc w:val="both"/>
        <w:rPr>
          <w:rFonts w:ascii="Arial" w:hAnsi="Arial" w:cs="Arial"/>
          <w:sz w:val="20"/>
          <w:szCs w:val="20"/>
        </w:rPr>
      </w:pPr>
      <w:r>
        <w:rPr>
          <w:rFonts w:ascii="Arial" w:hAnsi="Arial" w:cs="Arial"/>
          <w:sz w:val="20"/>
          <w:szCs w:val="20"/>
        </w:rPr>
        <w:t>Article 3: Enforcement</w:t>
      </w:r>
    </w:p>
    <w:p w:rsidR="00B6132D" w:rsidRDefault="00B6132D" w:rsidP="005610CB">
      <w:pPr>
        <w:spacing w:line="360" w:lineRule="auto"/>
        <w:jc w:val="both"/>
        <w:rPr>
          <w:rFonts w:ascii="Arial" w:hAnsi="Arial" w:cs="Arial"/>
          <w:sz w:val="20"/>
          <w:szCs w:val="20"/>
        </w:rPr>
      </w:pPr>
      <w:r>
        <w:rPr>
          <w:rFonts w:ascii="Arial" w:hAnsi="Arial" w:cs="Arial"/>
          <w:sz w:val="20"/>
          <w:szCs w:val="20"/>
        </w:rPr>
        <w:t xml:space="preserve">This board resolution takes effect from the signing date. Members of the Board of Directors, Management Board, Supervisor Board and relevant Departments and individuals will take responsibility for implementing the Board resolution </w:t>
      </w:r>
    </w:p>
    <w:p w:rsidR="00B6132D" w:rsidRDefault="00B6132D" w:rsidP="005610CB">
      <w:pPr>
        <w:spacing w:line="360" w:lineRule="auto"/>
        <w:jc w:val="both"/>
        <w:rPr>
          <w:rFonts w:ascii="Arial" w:hAnsi="Arial" w:cs="Arial"/>
          <w:sz w:val="20"/>
          <w:szCs w:val="20"/>
        </w:rPr>
      </w:pPr>
      <w:bookmarkStart w:id="0" w:name="_GoBack"/>
      <w:bookmarkEnd w:id="0"/>
    </w:p>
    <w:sectPr w:rsidR="00B6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2835"/>
    <w:rsid w:val="000266C2"/>
    <w:rsid w:val="000365C1"/>
    <w:rsid w:val="00050E3D"/>
    <w:rsid w:val="000603A9"/>
    <w:rsid w:val="000A0B74"/>
    <w:rsid w:val="000A52E4"/>
    <w:rsid w:val="000D20D4"/>
    <w:rsid w:val="000E4CD5"/>
    <w:rsid w:val="000E518E"/>
    <w:rsid w:val="000E71F4"/>
    <w:rsid w:val="001166C5"/>
    <w:rsid w:val="00132EC5"/>
    <w:rsid w:val="00146DCF"/>
    <w:rsid w:val="0016411D"/>
    <w:rsid w:val="00167E2F"/>
    <w:rsid w:val="001F34A1"/>
    <w:rsid w:val="001F6744"/>
    <w:rsid w:val="002B42CC"/>
    <w:rsid w:val="002C36A5"/>
    <w:rsid w:val="002D481A"/>
    <w:rsid w:val="002D4939"/>
    <w:rsid w:val="002D53EE"/>
    <w:rsid w:val="002E43D7"/>
    <w:rsid w:val="002E7FD0"/>
    <w:rsid w:val="00304722"/>
    <w:rsid w:val="0032185B"/>
    <w:rsid w:val="00327CF7"/>
    <w:rsid w:val="0033774A"/>
    <w:rsid w:val="00353428"/>
    <w:rsid w:val="0037607E"/>
    <w:rsid w:val="00397004"/>
    <w:rsid w:val="003A0ECB"/>
    <w:rsid w:val="003A5CE9"/>
    <w:rsid w:val="003B73F7"/>
    <w:rsid w:val="003C1805"/>
    <w:rsid w:val="003C4606"/>
    <w:rsid w:val="00403A9C"/>
    <w:rsid w:val="0042783A"/>
    <w:rsid w:val="004530A7"/>
    <w:rsid w:val="00453C9C"/>
    <w:rsid w:val="00467BC0"/>
    <w:rsid w:val="0047038B"/>
    <w:rsid w:val="00490B2B"/>
    <w:rsid w:val="00496733"/>
    <w:rsid w:val="004B2BA6"/>
    <w:rsid w:val="004E4C16"/>
    <w:rsid w:val="00503DD6"/>
    <w:rsid w:val="0052379D"/>
    <w:rsid w:val="0055067A"/>
    <w:rsid w:val="005610CB"/>
    <w:rsid w:val="00576A91"/>
    <w:rsid w:val="0058434E"/>
    <w:rsid w:val="005906FC"/>
    <w:rsid w:val="005B40E5"/>
    <w:rsid w:val="005E0B72"/>
    <w:rsid w:val="006000D8"/>
    <w:rsid w:val="0063035E"/>
    <w:rsid w:val="006374A1"/>
    <w:rsid w:val="00695ACD"/>
    <w:rsid w:val="006B04E8"/>
    <w:rsid w:val="006B36E8"/>
    <w:rsid w:val="006E15A6"/>
    <w:rsid w:val="006E5E99"/>
    <w:rsid w:val="00732DC3"/>
    <w:rsid w:val="007336C9"/>
    <w:rsid w:val="00744587"/>
    <w:rsid w:val="00745D9A"/>
    <w:rsid w:val="00750F3E"/>
    <w:rsid w:val="0077456B"/>
    <w:rsid w:val="00781EB4"/>
    <w:rsid w:val="007A072F"/>
    <w:rsid w:val="007A1FCC"/>
    <w:rsid w:val="007B07E7"/>
    <w:rsid w:val="007B67AF"/>
    <w:rsid w:val="007C13C6"/>
    <w:rsid w:val="007E0993"/>
    <w:rsid w:val="007F298E"/>
    <w:rsid w:val="00803E2A"/>
    <w:rsid w:val="008134FC"/>
    <w:rsid w:val="00837771"/>
    <w:rsid w:val="0084142F"/>
    <w:rsid w:val="0084485C"/>
    <w:rsid w:val="00853748"/>
    <w:rsid w:val="008544C2"/>
    <w:rsid w:val="008C7A42"/>
    <w:rsid w:val="00937D79"/>
    <w:rsid w:val="00964639"/>
    <w:rsid w:val="00981275"/>
    <w:rsid w:val="009C28F2"/>
    <w:rsid w:val="009E1744"/>
    <w:rsid w:val="00A06443"/>
    <w:rsid w:val="00A06521"/>
    <w:rsid w:val="00A128FC"/>
    <w:rsid w:val="00A34999"/>
    <w:rsid w:val="00A4710B"/>
    <w:rsid w:val="00A63B6C"/>
    <w:rsid w:val="00A87ED0"/>
    <w:rsid w:val="00AA54AD"/>
    <w:rsid w:val="00AB2C99"/>
    <w:rsid w:val="00AB32F6"/>
    <w:rsid w:val="00AC4F64"/>
    <w:rsid w:val="00AC6BEF"/>
    <w:rsid w:val="00AE6E83"/>
    <w:rsid w:val="00AF67BE"/>
    <w:rsid w:val="00B04704"/>
    <w:rsid w:val="00B21CC3"/>
    <w:rsid w:val="00B6132D"/>
    <w:rsid w:val="00B70D7E"/>
    <w:rsid w:val="00B7158A"/>
    <w:rsid w:val="00B861FB"/>
    <w:rsid w:val="00BA1F12"/>
    <w:rsid w:val="00BA3FB7"/>
    <w:rsid w:val="00BB149F"/>
    <w:rsid w:val="00BB2980"/>
    <w:rsid w:val="00BD3CCA"/>
    <w:rsid w:val="00BF0485"/>
    <w:rsid w:val="00C220E2"/>
    <w:rsid w:val="00C2280B"/>
    <w:rsid w:val="00C26F1A"/>
    <w:rsid w:val="00C32F3A"/>
    <w:rsid w:val="00C33F82"/>
    <w:rsid w:val="00C36031"/>
    <w:rsid w:val="00C61EAF"/>
    <w:rsid w:val="00C940B5"/>
    <w:rsid w:val="00CA1BB3"/>
    <w:rsid w:val="00CE40C1"/>
    <w:rsid w:val="00D415AC"/>
    <w:rsid w:val="00D52C26"/>
    <w:rsid w:val="00D651E1"/>
    <w:rsid w:val="00D74339"/>
    <w:rsid w:val="00D77F89"/>
    <w:rsid w:val="00D92EFF"/>
    <w:rsid w:val="00DA3531"/>
    <w:rsid w:val="00DA54D0"/>
    <w:rsid w:val="00DD1205"/>
    <w:rsid w:val="00DD263A"/>
    <w:rsid w:val="00DE5C3C"/>
    <w:rsid w:val="00DF4180"/>
    <w:rsid w:val="00DF739B"/>
    <w:rsid w:val="00E13C77"/>
    <w:rsid w:val="00E24F0A"/>
    <w:rsid w:val="00E469BD"/>
    <w:rsid w:val="00E51F4E"/>
    <w:rsid w:val="00E5565D"/>
    <w:rsid w:val="00E96D65"/>
    <w:rsid w:val="00ED6D41"/>
    <w:rsid w:val="00EF091F"/>
    <w:rsid w:val="00F272CE"/>
    <w:rsid w:val="00F320D6"/>
    <w:rsid w:val="00F33967"/>
    <w:rsid w:val="00F360CB"/>
    <w:rsid w:val="00F514ED"/>
    <w:rsid w:val="00F74558"/>
    <w:rsid w:val="00F86F7A"/>
    <w:rsid w:val="00F903A5"/>
    <w:rsid w:val="00FC153A"/>
    <w:rsid w:val="00FD3EED"/>
    <w:rsid w:val="00FD4001"/>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BF49"/>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201</cp:revision>
  <dcterms:created xsi:type="dcterms:W3CDTF">2019-10-16T10:03:00Z</dcterms:created>
  <dcterms:modified xsi:type="dcterms:W3CDTF">2020-05-03T16:01:00Z</dcterms:modified>
</cp:coreProperties>
</file>